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E3" w:rsidRPr="004B0B6F" w:rsidRDefault="003A64E3" w:rsidP="00817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0B6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64E3" w:rsidRPr="004B0B6F" w:rsidRDefault="003A64E3" w:rsidP="008170A5">
      <w:pPr>
        <w:pStyle w:val="Heading1"/>
        <w:rPr>
          <w:bCs w:val="0"/>
        </w:rPr>
      </w:pPr>
      <w:r w:rsidRPr="004B0B6F">
        <w:rPr>
          <w:bCs w:val="0"/>
        </w:rPr>
        <w:t xml:space="preserve">  АДМИНИСТРАЦИЯ  </w:t>
      </w:r>
    </w:p>
    <w:p w:rsidR="003A64E3" w:rsidRPr="004B0B6F" w:rsidRDefault="003A64E3" w:rsidP="008170A5">
      <w:pPr>
        <w:pStyle w:val="Heading1"/>
        <w:rPr>
          <w:bCs w:val="0"/>
        </w:rPr>
      </w:pPr>
      <w:r>
        <w:rPr>
          <w:bCs w:val="0"/>
        </w:rPr>
        <w:t>УСПЕ</w:t>
      </w:r>
      <w:r w:rsidRPr="004B0B6F">
        <w:rPr>
          <w:bCs w:val="0"/>
        </w:rPr>
        <w:t>НСКОГО СЕЛЬСОВЕТА</w:t>
      </w:r>
    </w:p>
    <w:p w:rsidR="003A64E3" w:rsidRPr="004B0B6F" w:rsidRDefault="003A64E3" w:rsidP="004B0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B6F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3A64E3" w:rsidRPr="004B0B6F" w:rsidRDefault="003A64E3" w:rsidP="008170A5">
      <w:pPr>
        <w:pStyle w:val="Heading2"/>
        <w:rPr>
          <w:bCs w:val="0"/>
          <w:sz w:val="28"/>
          <w:szCs w:val="28"/>
        </w:rPr>
      </w:pPr>
      <w:r w:rsidRPr="004B0B6F">
        <w:rPr>
          <w:bCs w:val="0"/>
          <w:sz w:val="28"/>
          <w:szCs w:val="28"/>
        </w:rPr>
        <w:t>ПОСТАНОВЛЕНИЕ</w:t>
      </w:r>
    </w:p>
    <w:p w:rsidR="003A64E3" w:rsidRPr="004B0B6F" w:rsidRDefault="003A64E3" w:rsidP="008170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64E3" w:rsidRPr="004B0B6F" w:rsidRDefault="003A64E3" w:rsidP="00817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18.10.2018</w:t>
      </w:r>
      <w:r w:rsidRPr="004B0B6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80</w:t>
      </w:r>
      <w:r w:rsidRPr="004B0B6F">
        <w:rPr>
          <w:rFonts w:ascii="Times New Roman" w:hAnsi="Times New Roman" w:cs="Times New Roman"/>
          <w:b/>
          <w:sz w:val="28"/>
          <w:szCs w:val="28"/>
        </w:rPr>
        <w:t xml:space="preserve">-В                         </w:t>
      </w:r>
    </w:p>
    <w:p w:rsidR="003A64E3" w:rsidRDefault="003A64E3" w:rsidP="004B0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B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3A64E3" w:rsidRDefault="003A64E3" w:rsidP="004B0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Успен</w:t>
      </w:r>
      <w:r w:rsidRPr="004B0B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ского сельсовета Касторенского района  </w:t>
      </w:r>
    </w:p>
    <w:p w:rsidR="003A64E3" w:rsidRDefault="003A64E3" w:rsidP="004B0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Курской области на 2019-2021</w:t>
      </w:r>
      <w:r w:rsidRPr="004B0B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A64E3" w:rsidRDefault="003A64E3" w:rsidP="004B0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0B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«Управление муниципальным имуществом и земельными ресурсами»</w:t>
      </w:r>
    </w:p>
    <w:p w:rsidR="003A64E3" w:rsidRPr="004B0B6F" w:rsidRDefault="003A64E3" w:rsidP="004B0B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64E3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Касторенского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3A64E3" w:rsidRPr="00A3652D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ельсовета Касторенского района Курской области на 2019-2021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3A64E3" w:rsidRPr="004B0B6F" w:rsidRDefault="003A64E3" w:rsidP="004B0B6F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3A64E3" w:rsidRDefault="003A64E3" w:rsidP="004B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64E3" w:rsidRDefault="003A64E3" w:rsidP="004B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3. Считать утратившим силу постановления администрации Успенского сельсовета Касторенского района  от 20.09.2017 г № 42-В «Об утверждении муниципальной программы Успенского сельсовета Касторенского района Курской области на 2018-2020 года «Управление муниципальным имуществом и земельными ресурсами»» с 01.01.2019 г.</w:t>
      </w:r>
    </w:p>
    <w:p w:rsidR="003A64E3" w:rsidRPr="00072EFE" w:rsidRDefault="003A64E3" w:rsidP="004B0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01.01.2019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A64E3" w:rsidRPr="00A3652D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3A64E3" w:rsidRDefault="003A64E3" w:rsidP="004B0B6F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                 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В.В.Кудрявцев</w:t>
      </w:r>
    </w:p>
    <w:p w:rsidR="003A64E3" w:rsidRDefault="003A64E3" w:rsidP="004B0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4B0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4B0B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Default="003A64E3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3A64E3" w:rsidRDefault="003A64E3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64E3" w:rsidRDefault="003A64E3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A64E3" w:rsidRDefault="003A64E3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3A64E3" w:rsidRDefault="003A64E3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3A64E3" w:rsidRPr="00A3652D" w:rsidRDefault="003A64E3" w:rsidP="00141827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18.10.2018 г.  № </w:t>
      </w:r>
      <w:r>
        <w:rPr>
          <w:rFonts w:ascii="Times New Roman" w:hAnsi="Times New Roman" w:cs="Times New Roman"/>
        </w:rPr>
        <w:t>80-В</w:t>
      </w:r>
      <w:r w:rsidRPr="008170A5">
        <w:rPr>
          <w:rFonts w:ascii="Times New Roman" w:hAnsi="Times New Roman" w:cs="Times New Roman"/>
        </w:rPr>
        <w:t xml:space="preserve">                    </w:t>
      </w:r>
    </w:p>
    <w:p w:rsidR="003A64E3" w:rsidRPr="00A3652D" w:rsidRDefault="003A64E3" w:rsidP="00A3652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района Курской области на 2019-2021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A64E3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4B0B6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будут осуществляться в  2019-2021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C532F0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– 120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руб.</w:t>
            </w:r>
            <w:r w:rsidRPr="00C532F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сельсовета, в том числе:</w:t>
            </w:r>
          </w:p>
          <w:p w:rsidR="003A64E3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2019 год  –  4</w:t>
            </w: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  <w:p w:rsidR="003A64E3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2020 год -   4000 руб.</w:t>
            </w:r>
          </w:p>
          <w:p w:rsidR="003A64E3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2021 год -   4000 руб. </w:t>
            </w:r>
          </w:p>
          <w:p w:rsidR="003A64E3" w:rsidRPr="00C532F0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3A64E3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4E3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устаревшая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1января 1999 года согласно Федеральному закону от 21 июля 1997 года № 122-ФЗ «О государственной регистрации прав на недвижимое имущество и сделок с ним».Согласно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Успенский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2019-2021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>ирования Программы составляет 120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1.Местный бюджет – 12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Успенский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2019-2021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1. Продолжить приватизацию муниципального имущества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Касторенского района, осуществлять контроль поступления доходов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Ростехинвентаризация Федеральное БТИ» по Касторенскому району, Администрацией Касторенского района  и иными государственными и муниципальными учреждениями и службами.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2019-2021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12.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>ших своё имущество на учет в 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стре по Курской области,  с целью пополнения налогооблагаемой базы и увеличения поступлений в бюджет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17. Во взаимодействии с отделом по управлению имуществом и земельным отношениям Администрации Касторенского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43"/>
        <w:gridCol w:w="1815"/>
        <w:gridCol w:w="1861"/>
        <w:gridCol w:w="1351"/>
        <w:gridCol w:w="2483"/>
        <w:gridCol w:w="2261"/>
      </w:tblGrid>
      <w:tr w:rsidR="003A64E3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</w:tr>
      <w:tr w:rsidR="003A64E3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4B0B6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3A64E3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4B0B6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64E3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</w:tbl>
    <w:p w:rsidR="003A64E3" w:rsidRPr="00A3652D" w:rsidRDefault="003A64E3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605"/>
        <w:gridCol w:w="2310"/>
      </w:tblGrid>
      <w:tr w:rsidR="003A64E3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3A64E3" w:rsidRPr="00A3652D" w:rsidRDefault="003A64E3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3A64E3" w:rsidRPr="00A3652D" w:rsidRDefault="003A64E3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3A64E3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3A64E3" w:rsidRPr="00A3652D" w:rsidRDefault="003A64E3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3A64E3" w:rsidRPr="00A3652D" w:rsidRDefault="003A64E3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4E3" w:rsidRPr="00A3652D" w:rsidRDefault="003A64E3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Организация управления за реализацией Программы и контроль за ходом ее выполнения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сельсовета;-иные органы в соответствии с их компетенцией, определенной законодательством.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4E3" w:rsidRPr="003541C6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3AAF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Касторенског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района Курской области на 2018-2020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3A64E3" w:rsidRPr="003541C6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4E3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25"/>
        <w:gridCol w:w="6120"/>
      </w:tblGrid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Российской Федерации»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A64E3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4B0B6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ммы будут осуществляться в  2019-2021 года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2F3AAF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бюджета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Успенского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сельсовета, в том числе:</w:t>
            </w:r>
          </w:p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2019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-2021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-2021 </w:t>
              </w:r>
              <w:r w:rsidRPr="00043B0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smartTag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3A64E3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A64E3" w:rsidRPr="00A3652D" w:rsidRDefault="003A64E3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в целях повышения доходной части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средств  в бюджет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3A64E3" w:rsidRPr="00A3652D" w:rsidRDefault="003A64E3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3A64E3" w:rsidRPr="00043B0E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>
        <w:rPr>
          <w:rFonts w:ascii="Times New Roman" w:hAnsi="Times New Roman" w:cs="Times New Roman"/>
          <w:sz w:val="24"/>
          <w:szCs w:val="24"/>
          <w:lang w:eastAsia="ru-RU"/>
        </w:rPr>
        <w:t>роки реализации программы – 2019-2021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12000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>1.Местный бюджет – 120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>00 рублей.</w:t>
      </w:r>
    </w:p>
    <w:p w:rsidR="003A64E3" w:rsidRPr="003541C6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3A64E3" w:rsidRPr="003541C6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3A64E3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использования выделенных на нее бюджетных средств обеспечивается за счет:                                                                         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3A64E3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4E3" w:rsidRPr="00A3652D" w:rsidRDefault="003A64E3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3A64E3" w:rsidRPr="00A3652D" w:rsidRDefault="003A64E3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3A64E3" w:rsidRPr="007144DA" w:rsidRDefault="003A64E3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3A64E3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43C"/>
    <w:multiLevelType w:val="hybridMultilevel"/>
    <w:tmpl w:val="6164D1A4"/>
    <w:lvl w:ilvl="0" w:tplc="62C22C56">
      <w:start w:val="1"/>
      <w:numFmt w:val="decimal"/>
      <w:lvlText w:val="%1."/>
      <w:lvlJc w:val="left"/>
      <w:pPr>
        <w:ind w:left="181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2309"/>
    <w:rsid w:val="00004828"/>
    <w:rsid w:val="000151E0"/>
    <w:rsid w:val="00015F2E"/>
    <w:rsid w:val="00043B0E"/>
    <w:rsid w:val="000631EE"/>
    <w:rsid w:val="00071FC4"/>
    <w:rsid w:val="00072EFE"/>
    <w:rsid w:val="000A610C"/>
    <w:rsid w:val="000D47FF"/>
    <w:rsid w:val="000F4257"/>
    <w:rsid w:val="00106684"/>
    <w:rsid w:val="00141827"/>
    <w:rsid w:val="00156DA7"/>
    <w:rsid w:val="00163E4D"/>
    <w:rsid w:val="00170498"/>
    <w:rsid w:val="00191F61"/>
    <w:rsid w:val="00217884"/>
    <w:rsid w:val="0023565C"/>
    <w:rsid w:val="0024253F"/>
    <w:rsid w:val="0028475E"/>
    <w:rsid w:val="002C6A6C"/>
    <w:rsid w:val="002F3AAF"/>
    <w:rsid w:val="00311B20"/>
    <w:rsid w:val="003541C6"/>
    <w:rsid w:val="00380F40"/>
    <w:rsid w:val="003A64E3"/>
    <w:rsid w:val="003F1B2B"/>
    <w:rsid w:val="003F1D77"/>
    <w:rsid w:val="003F45FD"/>
    <w:rsid w:val="0046077E"/>
    <w:rsid w:val="004B0B6F"/>
    <w:rsid w:val="004B2675"/>
    <w:rsid w:val="004B6D33"/>
    <w:rsid w:val="004E3888"/>
    <w:rsid w:val="0050239B"/>
    <w:rsid w:val="00502BF1"/>
    <w:rsid w:val="00525131"/>
    <w:rsid w:val="00537902"/>
    <w:rsid w:val="005974AF"/>
    <w:rsid w:val="005C5B15"/>
    <w:rsid w:val="005D28D7"/>
    <w:rsid w:val="006715F8"/>
    <w:rsid w:val="006A4282"/>
    <w:rsid w:val="006B2705"/>
    <w:rsid w:val="006D0C42"/>
    <w:rsid w:val="006D1BFB"/>
    <w:rsid w:val="007144DA"/>
    <w:rsid w:val="00731550"/>
    <w:rsid w:val="007A4502"/>
    <w:rsid w:val="007C2B9D"/>
    <w:rsid w:val="007F48E1"/>
    <w:rsid w:val="00800BEC"/>
    <w:rsid w:val="008170A5"/>
    <w:rsid w:val="00871ACD"/>
    <w:rsid w:val="008829BE"/>
    <w:rsid w:val="008A6991"/>
    <w:rsid w:val="008D07D1"/>
    <w:rsid w:val="00901463"/>
    <w:rsid w:val="00916195"/>
    <w:rsid w:val="009F1925"/>
    <w:rsid w:val="00A22B6D"/>
    <w:rsid w:val="00A2355E"/>
    <w:rsid w:val="00A3652D"/>
    <w:rsid w:val="00A8490F"/>
    <w:rsid w:val="00A90D27"/>
    <w:rsid w:val="00AA482C"/>
    <w:rsid w:val="00AA754F"/>
    <w:rsid w:val="00AB5C56"/>
    <w:rsid w:val="00B236E7"/>
    <w:rsid w:val="00B366A3"/>
    <w:rsid w:val="00B46957"/>
    <w:rsid w:val="00B623C0"/>
    <w:rsid w:val="00B62FE4"/>
    <w:rsid w:val="00B9234B"/>
    <w:rsid w:val="00B9318D"/>
    <w:rsid w:val="00BB6AFF"/>
    <w:rsid w:val="00BC1A3A"/>
    <w:rsid w:val="00BC4930"/>
    <w:rsid w:val="00C02274"/>
    <w:rsid w:val="00C07499"/>
    <w:rsid w:val="00C532F0"/>
    <w:rsid w:val="00C54A76"/>
    <w:rsid w:val="00C62660"/>
    <w:rsid w:val="00C70604"/>
    <w:rsid w:val="00C767ED"/>
    <w:rsid w:val="00D14E5B"/>
    <w:rsid w:val="00D245FA"/>
    <w:rsid w:val="00D41B47"/>
    <w:rsid w:val="00D42D90"/>
    <w:rsid w:val="00D727C3"/>
    <w:rsid w:val="00DA720D"/>
    <w:rsid w:val="00DF63D2"/>
    <w:rsid w:val="00E61395"/>
    <w:rsid w:val="00E7748F"/>
    <w:rsid w:val="00EC3F5A"/>
    <w:rsid w:val="00EE5188"/>
    <w:rsid w:val="00F115EA"/>
    <w:rsid w:val="00F25597"/>
    <w:rsid w:val="00F3329E"/>
    <w:rsid w:val="00FA3B3F"/>
    <w:rsid w:val="00FB198F"/>
    <w:rsid w:val="00FE1C4E"/>
    <w:rsid w:val="00FE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3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Знак Знак1 Знак Знак Знак Знак"/>
    <w:basedOn w:val="Normal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4B6D33"/>
    <w:pPr>
      <w:ind w:left="720"/>
    </w:pPr>
  </w:style>
  <w:style w:type="paragraph" w:customStyle="1" w:styleId="a">
    <w:name w:val="Простой текст"/>
    <w:basedOn w:val="Normal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581</TotalTime>
  <Pages>9</Pages>
  <Words>3004</Words>
  <Characters>17128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успенка</cp:lastModifiedBy>
  <cp:revision>39</cp:revision>
  <cp:lastPrinted>2019-03-20T11:32:00Z</cp:lastPrinted>
  <dcterms:created xsi:type="dcterms:W3CDTF">2014-12-13T16:17:00Z</dcterms:created>
  <dcterms:modified xsi:type="dcterms:W3CDTF">2019-03-20T11:34:00Z</dcterms:modified>
</cp:coreProperties>
</file>